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412.1 Purpose</w:t>
      </w:r>
    </w:p>
    <w:p w:rsidR="00000000" w:rsidDel="00000000" w:rsidP="00000000" w:rsidRDefault="00000000" w:rsidRPr="00000000" w14:paraId="00000002">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initial month of certification Supplemental Nutrition Assistance Program (SNAP) benefits are reduced in proportion to the date the application is filed.  This section provides the policy for determining the initial month’s Supplemental Nutrition Assistance Program (SNAP) benefit.</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412.2 Definition of Initial Allotment</w:t>
      </w:r>
    </w:p>
    <w:p w:rsidR="00000000" w:rsidDel="00000000" w:rsidP="00000000" w:rsidRDefault="00000000" w:rsidRPr="00000000" w14:paraId="00000006">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initial month is the first month an allotment is issued. The initial month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follows any period during which the household is not certified for participation.  This definition does not apply to migrant and seasonal farm workers.</w:t>
      </w:r>
    </w:p>
    <w:p w:rsidR="00000000" w:rsidDel="00000000" w:rsidP="00000000" w:rsidRDefault="00000000" w:rsidRPr="00000000" w14:paraId="00000008">
      <w:pPr>
        <w:ind w:left="81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initial month for migrant and seasonal farm workers is the first month for which the household is certified for participation following any period of more than 30 days during which the household was not certified for participation.</w:t>
      </w:r>
    </w:p>
    <w:p w:rsidR="00000000" w:rsidDel="00000000" w:rsidP="00000000" w:rsidRDefault="00000000" w:rsidRPr="00000000" w14:paraId="0000000A">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B">
      <w:pPr>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household causes an application processing delay beyond 30 days, the first allotment is prorated from the date the household took the required action.</w:t>
      </w:r>
    </w:p>
    <w:p w:rsidR="00000000" w:rsidDel="00000000" w:rsidP="00000000" w:rsidRDefault="00000000" w:rsidRPr="00000000" w14:paraId="0000000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NOTE: Since the household’s initial month’s SNAP benefits depend on the date the application is filed, local departments must ensure that:</w:t>
      </w:r>
    </w:p>
    <w:p w:rsidR="00000000" w:rsidDel="00000000" w:rsidP="00000000" w:rsidRDefault="00000000" w:rsidRPr="00000000" w14:paraId="0000000E">
      <w:pPr>
        <w:ind w:left="45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numPr>
          <w:ilvl w:val="0"/>
          <w:numId w:val="8"/>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application is provided upon request</w:t>
      </w:r>
    </w:p>
    <w:p w:rsidR="00000000" w:rsidDel="00000000" w:rsidP="00000000" w:rsidRDefault="00000000" w:rsidRPr="00000000" w14:paraId="00000010">
      <w:pPr>
        <w:numPr>
          <w:ilvl w:val="0"/>
          <w:numId w:val="8"/>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household’s right to same-day-filing is explained</w:t>
      </w:r>
    </w:p>
    <w:p w:rsidR="00000000" w:rsidDel="00000000" w:rsidP="00000000" w:rsidRDefault="00000000" w:rsidRPr="00000000" w14:paraId="00000011">
      <w:pPr>
        <w:numPr>
          <w:ilvl w:val="0"/>
          <w:numId w:val="8"/>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application is accepted the same day it is filed</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412.3 Determining Eligibility</w:t>
      </w:r>
    </w:p>
    <w:p w:rsidR="00000000" w:rsidDel="00000000" w:rsidP="00000000" w:rsidRDefault="00000000" w:rsidRPr="00000000" w14:paraId="00000014">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5">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Base a household’s initial month’s allotment on its circumstances for the application month.</w:t>
      </w:r>
    </w:p>
    <w:p w:rsidR="00000000" w:rsidDel="00000000" w:rsidP="00000000" w:rsidRDefault="00000000" w:rsidRPr="00000000" w14:paraId="0000001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local department will determine the household’s normal allotment and then use that amount to prorate SNAP benefits for the initial month. </w:t>
      </w:r>
    </w:p>
    <w:p w:rsidR="00000000" w:rsidDel="00000000" w:rsidP="00000000" w:rsidRDefault="00000000" w:rsidRPr="00000000" w14:paraId="00000018">
      <w:pPr>
        <w:ind w:left="810" w:hanging="3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issue an allotment if the prorated amount is less than $10. (This applies to all households including one and two-person households.)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numPr>
          <w:ilvl w:val="0"/>
          <w:numId w:val="11"/>
        </w:numPr>
        <w:ind w:left="720" w:hanging="360"/>
        <w:rPr/>
      </w:pPr>
      <w:r w:rsidDel="00000000" w:rsidR="00000000" w:rsidRPr="00000000">
        <w:rPr>
          <w:rtl w:val="0"/>
        </w:rPr>
        <w:t xml:space="preserve">For subsequent months in the certification period, one and two-person households are eligible to receive the minimum $16 benefit. </w:t>
      </w:r>
    </w:p>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pStyle w:val="Heading1"/>
        <w:numPr>
          <w:ilvl w:val="0"/>
          <w:numId w:val="11"/>
        </w:numPr>
        <w:ind w:left="720" w:hanging="360"/>
        <w:rPr/>
      </w:pPr>
      <w:r w:rsidDel="00000000" w:rsidR="00000000" w:rsidRPr="00000000">
        <w:rPr>
          <w:rtl w:val="0"/>
        </w:rPr>
        <w:t xml:space="preserve">All eligible households with three or more members that are entitled to $1, $3 or $5 allotments shall receive allotments of $2, $4 or $6. </w:t>
      </w:r>
    </w:p>
    <w:p w:rsidR="00000000" w:rsidDel="00000000" w:rsidP="00000000" w:rsidRDefault="00000000" w:rsidRPr="00000000" w14:paraId="0000001E">
      <w:pPr>
        <w:rPr>
          <w:sz w:val="16"/>
          <w:szCs w:val="16"/>
        </w:rPr>
      </w:pPr>
      <w:r w:rsidDel="00000000" w:rsidR="00000000" w:rsidRPr="00000000">
        <w:rPr>
          <w:rtl w:val="0"/>
        </w:rPr>
      </w:r>
    </w:p>
    <w:p w:rsidR="00000000" w:rsidDel="00000000" w:rsidP="00000000" w:rsidRDefault="00000000" w:rsidRPr="00000000" w14:paraId="0000001F">
      <w:pPr>
        <w:pStyle w:val="Heading1"/>
        <w:ind w:left="810" w:firstLine="0"/>
        <w:rPr>
          <w:b w:val="1"/>
        </w:rPr>
      </w:pPr>
      <w:r w:rsidDel="00000000" w:rsidR="00000000" w:rsidRPr="00000000">
        <w:rPr>
          <w:rtl w:val="0"/>
        </w:rPr>
        <w:t xml:space="preserve">Maryland Human Services Article §5–501 requires that if a household includes an individual who is at least 62 years old and receives a federally funded Supplemental Nutrition Assistance Program benefit in an amount less than $40 per month, the State shall provide a supplement to increase the total benefit to $40 per month.</w:t>
      </w: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Style w:val="Heading1"/>
        <w:ind w:left="81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412.4 Determining Initial Allotment</w:t>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full monthly allotment is determined, use one of the following two methods to determine the initial allotment:</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 the Basis of Issuance Tables in the Appendix.</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monthly net income is listed in the left-most column. The family size is listed across the top.</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Find the net income and follow the row to the family size.  The benefit allotment is the number at the intersection of the income and size. </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family of three with a net monthly income of $100 would be eligible for an allotment of $</w:t>
      </w:r>
      <w:r w:rsidDel="00000000" w:rsidR="00000000" w:rsidRPr="00000000">
        <w:rPr>
          <w:rFonts w:ascii="Arial" w:cs="Arial" w:eastAsia="Arial" w:hAnsi="Arial"/>
          <w:sz w:val="24"/>
          <w:szCs w:val="24"/>
          <w:rtl w:val="0"/>
        </w:rPr>
        <w:t xml:space="preserve">740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determine the prorated benefit for the first (partial) month, consult the Multiplication Factors provided in Section 411.4.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17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left column of the multiplication factors is the day of the month that the application was filed.</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17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second column is the factor by which to multiply the benefit for the applicant’s family size..</w:t>
      </w:r>
    </w:p>
    <w:p w:rsidR="00000000" w:rsidDel="00000000" w:rsidP="00000000" w:rsidRDefault="00000000" w:rsidRPr="00000000" w14:paraId="00000031">
      <w:pPr>
        <w:pStyle w:val="Heading2"/>
        <w:numPr>
          <w:ilvl w:val="0"/>
          <w:numId w:val="4"/>
        </w:numPr>
        <w:tabs>
          <w:tab w:val="left" w:leader="none" w:pos="450"/>
        </w:tabs>
        <w:ind w:left="1170" w:hanging="360"/>
        <w:rPr/>
      </w:pPr>
      <w:r w:rsidDel="00000000" w:rsidR="00000000" w:rsidRPr="00000000">
        <w:rPr>
          <w:rtl w:val="0"/>
        </w:rPr>
        <w:t xml:space="preserve">A family of three with $100 net income that applies on the 12</w:t>
      </w:r>
      <w:r w:rsidDel="00000000" w:rsidR="00000000" w:rsidRPr="00000000">
        <w:rPr>
          <w:vertAlign w:val="superscript"/>
          <w:rtl w:val="0"/>
        </w:rPr>
        <w:t xml:space="preserve">th</w:t>
      </w:r>
      <w:r w:rsidDel="00000000" w:rsidR="00000000" w:rsidRPr="00000000">
        <w:rPr>
          <w:rtl w:val="0"/>
        </w:rPr>
        <w:t xml:space="preserve"> of the month would receive an allotment of $469 ($481 x 0.6333) for the first month and $740 for subsequent months.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automatically </w:t>
      </w:r>
      <w:r w:rsidDel="00000000" w:rsidR="00000000" w:rsidRPr="00000000">
        <w:rPr>
          <w:rFonts w:ascii="Arial" w:cs="Arial" w:eastAsia="Arial" w:hAnsi="Arial"/>
          <w:sz w:val="24"/>
          <w:szCs w:val="24"/>
          <w:rtl w:val="0"/>
        </w:rPr>
        <w:t xml:space="preserve">prorates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SNAP benefits using the application filing date and the appropriate income and deductions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Rounding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Round the amount when using the formula to determine the initial month’s allotment.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Round down cents from 1 – 99.</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whose prorated allotment is $10 or less receives no allotment in the initial month.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Prorating $</w:t>
      </w:r>
      <w:r w:rsidDel="00000000" w:rsidR="00000000" w:rsidRPr="00000000">
        <w:rPr>
          <w:rFonts w:ascii="Arial" w:cs="Arial" w:eastAsia="Arial" w:hAnsi="Arial"/>
          <w:b w:val="1"/>
          <w:sz w:val="28"/>
          <w:szCs w:val="28"/>
          <w:rtl w:val="0"/>
        </w:rPr>
        <w:t xml:space="preserve">23</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Minimum Supplemental Nutrition Assistance Program Benefit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month’s benefit is prorated to one and two-person households normally guaranteed a $</w:t>
      </w:r>
      <w:r w:rsidDel="00000000" w:rsidR="00000000" w:rsidRPr="00000000">
        <w:rPr>
          <w:rFonts w:ascii="Arial" w:cs="Arial" w:eastAsia="Arial" w:hAnsi="Arial"/>
          <w:sz w:val="24"/>
          <w:szCs w:val="24"/>
          <w:rtl w:val="0"/>
        </w:rPr>
        <w:t xml:space="preserve">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minimum benefit for the regular allotment.  Do not issue an allotment if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amount is less than $10.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Households that include a person who is age 62 or older may receive a state-funded supplemental benefit of the difference between $</w:t>
      </w: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household’s current SNAP benefit amount between $</w:t>
      </w:r>
      <w:r w:rsidDel="00000000" w:rsidR="00000000" w:rsidRPr="00000000">
        <w:rPr>
          <w:rFonts w:ascii="Arial" w:cs="Arial" w:eastAsia="Arial" w:hAnsi="Arial"/>
          <w:sz w:val="24"/>
          <w:szCs w:val="24"/>
          <w:rtl w:val="0"/>
        </w:rPr>
        <w:t xml:space="preserve">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sz w:val="24"/>
          <w:szCs w:val="24"/>
          <w:rtl w:val="0"/>
        </w:rPr>
        <w:t xml:space="preserve">40</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Expedited Service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prorate the initial month’s SNAP benefits for expedited service households in the same way as for all other households.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412.8 Categorically Eligible or Supplemental Security Income (SSI) Households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the proration procedure listed below when a household that files a joint public assistance/SNAP benefit application or obtains categorical eligibility in accordance with section 115 of this manual (Categorical Eligibility):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Prorate SNAP benefits for the initial month from the date from which the public assistance is payable, 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original SNAP benefit application, whichever is later.</w:t>
      </w:r>
    </w:p>
    <w:p w:rsidR="00000000" w:rsidDel="00000000" w:rsidP="00000000" w:rsidRDefault="00000000" w:rsidRPr="00000000" w14:paraId="0000004D">
      <w:pPr>
        <w:rPr>
          <w:rFonts w:ascii="Arial" w:cs="Arial" w:eastAsia="Arial" w:hAnsi="Arial"/>
          <w:b w:val="1"/>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412.9  Multiplication Factors</w:t>
      </w:r>
    </w:p>
    <w:p w:rsidR="00000000" w:rsidDel="00000000" w:rsidP="00000000" w:rsidRDefault="00000000" w:rsidRPr="00000000" w14:paraId="0000004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F">
      <w:pPr>
        <w:pStyle w:val="Heading1"/>
        <w:rPr/>
      </w:pPr>
      <w:r w:rsidDel="00000000" w:rsidR="00000000" w:rsidRPr="00000000">
        <w:rPr>
          <w:rtl w:val="0"/>
        </w:rPr>
        <w:t xml:space="preserve">Date of Application</w:t>
        <w:tab/>
        <w:tab/>
        <w:t xml:space="preserve">Multiplication Factor</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1.0000</w:t>
      </w:r>
    </w:p>
    <w:p w:rsidR="00000000" w:rsidDel="00000000" w:rsidP="00000000" w:rsidRDefault="00000000" w:rsidRPr="00000000" w14:paraId="00000052">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.9666</w:t>
      </w:r>
    </w:p>
    <w:p w:rsidR="00000000" w:rsidDel="00000000" w:rsidP="00000000" w:rsidRDefault="00000000" w:rsidRPr="00000000" w14:paraId="00000053">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.9333</w:t>
      </w:r>
    </w:p>
    <w:p w:rsidR="00000000" w:rsidDel="00000000" w:rsidP="00000000" w:rsidRDefault="00000000" w:rsidRPr="00000000" w14:paraId="00000054">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.9000</w:t>
      </w:r>
    </w:p>
    <w:p w:rsidR="00000000" w:rsidDel="00000000" w:rsidP="00000000" w:rsidRDefault="00000000" w:rsidRPr="00000000" w14:paraId="00000055">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.8666</w:t>
      </w:r>
    </w:p>
    <w:p w:rsidR="00000000" w:rsidDel="00000000" w:rsidP="00000000" w:rsidRDefault="00000000" w:rsidRPr="00000000" w14:paraId="00000056">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.8333</w:t>
      </w:r>
    </w:p>
    <w:p w:rsidR="00000000" w:rsidDel="00000000" w:rsidP="00000000" w:rsidRDefault="00000000" w:rsidRPr="00000000" w14:paraId="00000057">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.8000</w:t>
      </w:r>
    </w:p>
    <w:p w:rsidR="00000000" w:rsidDel="00000000" w:rsidP="00000000" w:rsidRDefault="00000000" w:rsidRPr="00000000" w14:paraId="00000058">
      <w:pPr>
        <w:numPr>
          <w:ilvl w:val="0"/>
          <w:numId w:val="9"/>
        </w:numPr>
        <w:tabs>
          <w:tab w:val="left" w:leader="none" w:pos="2880"/>
        </w:tabs>
        <w:ind w:left="6480" w:hanging="57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.7666</w:t>
      </w:r>
    </w:p>
    <w:p w:rsidR="00000000" w:rsidDel="00000000" w:rsidP="00000000" w:rsidRDefault="00000000" w:rsidRPr="00000000" w14:paraId="00000059">
      <w:pPr>
        <w:tabs>
          <w:tab w:val="left" w:leader="none" w:pos="2880"/>
        </w:tabs>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w:t>
        <w:tab/>
        <w:tab/>
        <w:tab/>
        <w:tab/>
        <w:tab/>
        <w:tab/>
        <w:t xml:space="preserve">.7333</w:t>
      </w:r>
    </w:p>
    <w:p w:rsidR="00000000" w:rsidDel="00000000" w:rsidP="00000000" w:rsidRDefault="00000000" w:rsidRPr="00000000" w14:paraId="0000005A">
      <w:pPr>
        <w:tabs>
          <w:tab w:val="left" w:leader="none" w:pos="2880"/>
        </w:tabs>
        <w:ind w:left="720" w:hanging="9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tab/>
        <w:tab/>
        <w:tab/>
        <w:tab/>
        <w:tab/>
        <w:tab/>
        <w:t xml:space="preserve">.7000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3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11</w:t>
        <w:tab/>
        <w:tab/>
        <w:tab/>
        <w:tab/>
        <w:tab/>
        <w:tab/>
        <w:tab/>
        <w:tab/>
        <w:t xml:space="preserve">.6666</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18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12</w:t>
        <w:tab/>
        <w:tab/>
        <w:tab/>
        <w:tab/>
        <w:tab/>
        <w:tab/>
        <w:tab/>
        <w:tab/>
        <w:t xml:space="preserve">.6333</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.6000</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.5666</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.5333</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.5000</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.4666</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.4333</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.4000</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.3666</w:t>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.3333</w:t>
      </w:r>
    </w:p>
    <w:p w:rsidR="00000000" w:rsidDel="00000000" w:rsidP="00000000" w:rsidRDefault="00000000" w:rsidRPr="00000000" w14:paraId="000000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.3000</w:t>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.2666</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.2333</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.2000</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.1666</w:t>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.1333</w:t>
      </w:r>
    </w:p>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.1000</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.0666</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.0333</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6480" w:right="0" w:hanging="585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.0333</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4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8"/>
      <w:gridCol w:w="1989"/>
      <w:gridCol w:w="2601"/>
      <w:tblGridChange w:id="0">
        <w:tblGrid>
          <w:gridCol w:w="4878"/>
          <w:gridCol w:w="1989"/>
          <w:gridCol w:w="2601"/>
        </w:tblGrid>
      </w:tblGridChange>
    </w:tblGrid>
    <w:tr>
      <w:trPr>
        <w:cantSplit w:val="0"/>
        <w:trHeight w:val="530" w:hRule="atLeast"/>
        <w:tblHeader w:val="0"/>
      </w:trPr>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p>
      </w:tc>
      <w:tc>
        <w:tcPr>
          <w:gridSpan w:val="2"/>
          <w:vAlign w:val="center"/>
        </w:tcPr>
        <w:p w:rsidR="00000000" w:rsidDel="00000000" w:rsidP="00000000" w:rsidRDefault="00000000" w:rsidRPr="00000000" w14:paraId="0000007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SUPPLEMENTAL NUTRITION ASSISTANCE PROGRAM (SNAP)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MANUAL</w:t>
          </w:r>
        </w:p>
      </w:tc>
    </w:tr>
    <w:tr>
      <w:trPr>
        <w:cantSplit w:val="0"/>
        <w:trHeight w:val="332" w:hRule="atLeast"/>
        <w:tblHeader w:val="0"/>
      </w:trPr>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PRORATING INITIAL ALLOTMENT</w:t>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412</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1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17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412"/>
      <w:numFmt w:val="decimal"/>
      <w:lvlText w:val="%1"/>
      <w:lvlJc w:val="left"/>
      <w:pPr>
        <w:ind w:left="720" w:hanging="720"/>
      </w:pPr>
      <w:rPr/>
    </w:lvl>
    <w:lvl w:ilvl="1">
      <w:start w:val="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
    <w:lvl w:ilvl="0">
      <w:start w:val="4"/>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6480" w:hanging="57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3"/>
      <w:numFmt w:val="decimal"/>
      <w:lvlText w:val="%1"/>
      <w:lvlJc w:val="left"/>
      <w:pPr>
        <w:ind w:left="6480" w:hanging="585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81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81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81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50" w:hanging="450"/>
    </w:pPr>
    <w:rPr>
      <w:rFonts w:ascii="Arial" w:cs="Arial" w:eastAsia="Arial" w:hAnsi="Arial"/>
      <w:sz w:val="24"/>
      <w:szCs w:val="24"/>
    </w:rPr>
  </w:style>
  <w:style w:type="paragraph" w:styleId="Heading2">
    <w:name w:val="heading 2"/>
    <w:basedOn w:val="Normal"/>
    <w:next w:val="Normal"/>
    <w:pPr>
      <w:keepNext w:val="1"/>
      <w:tabs>
        <w:tab w:val="left" w:leader="none" w:pos="450"/>
      </w:tabs>
    </w:pPr>
    <w:rPr>
      <w:rFonts w:ascii="Arial" w:cs="Arial" w:eastAsia="Arial" w:hAnsi="Arial"/>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13AF"/>
  </w:style>
  <w:style w:type="paragraph" w:styleId="Heading1">
    <w:name w:val="heading 1"/>
    <w:basedOn w:val="Normal"/>
    <w:next w:val="Normal"/>
    <w:qFormat w:val="1"/>
    <w:rsid w:val="00C213AF"/>
    <w:pPr>
      <w:keepNext w:val="1"/>
      <w:ind w:left="450" w:hanging="450"/>
      <w:outlineLvl w:val="0"/>
    </w:pPr>
    <w:rPr>
      <w:rFonts w:ascii="Arial" w:hAnsi="Arial"/>
      <w:sz w:val="24"/>
    </w:rPr>
  </w:style>
  <w:style w:type="paragraph" w:styleId="Heading2">
    <w:name w:val="heading 2"/>
    <w:basedOn w:val="Normal"/>
    <w:next w:val="Normal"/>
    <w:qFormat w:val="1"/>
    <w:rsid w:val="00C213AF"/>
    <w:pPr>
      <w:keepNext w:val="1"/>
      <w:tabs>
        <w:tab w:val="left" w:pos="450"/>
      </w:tabs>
      <w:outlineLvl w:val="1"/>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213AF"/>
    <w:pPr>
      <w:tabs>
        <w:tab w:val="center" w:pos="4320"/>
        <w:tab w:val="right" w:pos="8640"/>
      </w:tabs>
    </w:pPr>
  </w:style>
  <w:style w:type="paragraph" w:styleId="Footer">
    <w:name w:val="footer"/>
    <w:basedOn w:val="Normal"/>
    <w:rsid w:val="00C213AF"/>
    <w:pPr>
      <w:tabs>
        <w:tab w:val="center" w:pos="4320"/>
        <w:tab w:val="right" w:pos="8640"/>
      </w:tabs>
    </w:pPr>
  </w:style>
  <w:style w:type="character" w:styleId="PageNumber">
    <w:name w:val="page number"/>
    <w:basedOn w:val="DefaultParagraphFont"/>
    <w:rsid w:val="00C213AF"/>
  </w:style>
  <w:style w:type="paragraph" w:styleId="BodyTextIndent">
    <w:name w:val="Body Text Indent"/>
    <w:basedOn w:val="Normal"/>
    <w:rsid w:val="00C213AF"/>
    <w:pPr>
      <w:ind w:left="810" w:hanging="360"/>
    </w:pPr>
    <w:rPr>
      <w:rFonts w:ascii="Arial" w:hAnsi="Arial"/>
      <w:sz w:val="24"/>
    </w:rPr>
  </w:style>
  <w:style w:type="paragraph" w:styleId="BodyText">
    <w:name w:val="Body Text"/>
    <w:basedOn w:val="Normal"/>
    <w:rsid w:val="00C213AF"/>
    <w:rPr>
      <w:rFonts w:ascii="Arial" w:hAnsi="Arial"/>
      <w:sz w:val="24"/>
    </w:rPr>
  </w:style>
  <w:style w:type="paragraph" w:styleId="BodyTextIndent2">
    <w:name w:val="Body Text Indent 2"/>
    <w:basedOn w:val="Normal"/>
    <w:rsid w:val="00C213AF"/>
    <w:pPr>
      <w:tabs>
        <w:tab w:val="left" w:pos="450"/>
      </w:tabs>
      <w:ind w:left="810" w:hanging="810"/>
    </w:pPr>
    <w:rPr>
      <w:rFonts w:ascii="Arial" w:hAnsi="Arial"/>
      <w:sz w:val="24"/>
    </w:rPr>
  </w:style>
  <w:style w:type="paragraph" w:styleId="BodyTextIndent3">
    <w:name w:val="Body Text Indent 3"/>
    <w:basedOn w:val="Normal"/>
    <w:rsid w:val="00C213AF"/>
    <w:pPr>
      <w:ind w:left="810"/>
    </w:pPr>
    <w:rPr>
      <w:rFonts w:ascii="Arial" w:hAnsi="Arial"/>
      <w:sz w:val="24"/>
    </w:rPr>
  </w:style>
  <w:style w:type="paragraph" w:styleId="BalloonText">
    <w:name w:val="Balloon Text"/>
    <w:basedOn w:val="Normal"/>
    <w:semiHidden w:val="1"/>
    <w:rsid w:val="00705B89"/>
    <w:rPr>
      <w:rFonts w:ascii="Tahoma" w:cs="Tahoma" w:hAnsi="Tahoma"/>
      <w:sz w:val="16"/>
      <w:szCs w:val="16"/>
    </w:rPr>
  </w:style>
  <w:style w:type="character" w:styleId="CommentReference">
    <w:name w:val="annotation reference"/>
    <w:basedOn w:val="DefaultParagraphFont"/>
    <w:rsid w:val="004F4AC5"/>
    <w:rPr>
      <w:sz w:val="16"/>
      <w:szCs w:val="16"/>
    </w:rPr>
  </w:style>
  <w:style w:type="paragraph" w:styleId="CommentText">
    <w:name w:val="annotation text"/>
    <w:basedOn w:val="Normal"/>
    <w:link w:val="CommentTextChar"/>
    <w:rsid w:val="004F4AC5"/>
  </w:style>
  <w:style w:type="character" w:styleId="CommentTextChar" w:customStyle="1">
    <w:name w:val="Comment Text Char"/>
    <w:basedOn w:val="DefaultParagraphFont"/>
    <w:link w:val="CommentText"/>
    <w:rsid w:val="004F4AC5"/>
  </w:style>
  <w:style w:type="paragraph" w:styleId="CommentSubject">
    <w:name w:val="annotation subject"/>
    <w:basedOn w:val="CommentText"/>
    <w:next w:val="CommentText"/>
    <w:link w:val="CommentSubjectChar"/>
    <w:rsid w:val="004F4AC5"/>
    <w:rPr>
      <w:b w:val="1"/>
      <w:bCs w:val="1"/>
    </w:rPr>
  </w:style>
  <w:style w:type="character" w:styleId="CommentSubjectChar" w:customStyle="1">
    <w:name w:val="Comment Subject Char"/>
    <w:basedOn w:val="CommentTextChar"/>
    <w:link w:val="CommentSubject"/>
    <w:rsid w:val="004F4AC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n3sXnnIXTrLAqHzU4zMUd3sjw==">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2020-08-16T17:15:00Z</dcterms:created>
  <dc:creator>rmcclend</dc:creator>
</cp:coreProperties>
</file>