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400.1 Purpose</w:t>
      </w:r>
    </w:p>
    <w:p w:rsidR="00000000" w:rsidDel="00000000" w:rsidP="00000000" w:rsidRDefault="00000000" w:rsidRPr="00000000" w14:paraId="0000000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section provides the policies on obtaining and filing an application.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400.2 General Policy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application process begins with a request for an application, and ends with determination and notification of the household’s eligibility or ineligibility.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Unless expedited, households must be given an opportunity to participate, if eligible, no later than 30 days from the date an application is filed.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households determined eligible Supplemental Nutrition Assistance Program (SNAP) benefits retroactive to the day of application.  An application must be filed in order to establish and protect the right to retroactive SNAP benefits. This is one of the reasons it is important to encourage households to file an application on the same day they contact the SNAP office.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numPr>
          <w:ilvl w:val="0"/>
          <w:numId w:val="7"/>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 interview is not required before a household files the application. </w:t>
      </w:r>
    </w:p>
    <w:p w:rsidR="00000000" w:rsidDel="00000000" w:rsidP="00000000" w:rsidRDefault="00000000" w:rsidRPr="00000000" w14:paraId="0000000E">
      <w:pPr>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Households may file an incomplete application as long as it contains the applicant’s name and address, and is signed by a responsible adult member of the household or an authorized representative.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The case manager must not have close association or kinship with any household member of the case.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180" w:before="0" w:line="240" w:lineRule="auto"/>
        <w:ind w:left="108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Where there is a close association or kinship the staff person must disqualify himself or herself from the eligibility process. </w:t>
      </w:r>
    </w:p>
    <w:p w:rsidR="00000000" w:rsidDel="00000000" w:rsidP="00000000" w:rsidRDefault="00000000" w:rsidRPr="00000000" w14:paraId="0000001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180" w:before="0" w:line="240" w:lineRule="auto"/>
        <w:ind w:left="108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When this occurs, the local department must reassign the case to an impartial DSS staff member.</w:t>
      </w:r>
    </w:p>
    <w:p w:rsidR="00000000" w:rsidDel="00000000" w:rsidP="00000000" w:rsidRDefault="00000000" w:rsidRPr="00000000" w14:paraId="0000001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180" w:before="0" w:line="240" w:lineRule="auto"/>
        <w:ind w:left="1080" w:right="0" w:hanging="360"/>
        <w:jc w:val="left"/>
        <w:rPr>
          <w:rFonts w:ascii="Arial" w:cs="Arial" w:eastAsia="Arial" w:hAnsi="Arial"/>
          <w:b w:val="0"/>
          <w:i w:val="0"/>
          <w:smallCaps w:val="0"/>
          <w:strike w:val="0"/>
          <w:color w:val="222222"/>
          <w:sz w:val="20"/>
          <w:szCs w:val="20"/>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The assigned case manager or supervisor may not seek information from or discuss the case with the disqualified staff person.</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case manager must offer each person, age 16 and above the opportunity to register to vote.</w:t>
      </w:r>
    </w:p>
    <w:p w:rsidR="00000000" w:rsidDel="00000000" w:rsidP="00000000" w:rsidRDefault="00000000" w:rsidRPr="00000000" w14:paraId="00000016">
      <w:pPr>
        <w:tabs>
          <w:tab w:val="left" w:leader="none" w:pos="900"/>
        </w:tabs>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7">
      <w:pPr>
        <w:tabs>
          <w:tab w:val="left" w:leader="none" w:pos="900"/>
        </w:tabs>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400.3 Filing an Application</w:t>
      </w:r>
    </w:p>
    <w:p w:rsidR="00000000" w:rsidDel="00000000" w:rsidP="00000000" w:rsidRDefault="00000000" w:rsidRPr="00000000" w14:paraId="00000018">
      <w:pPr>
        <w:tabs>
          <w:tab w:val="left" w:leader="none" w:pos="27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application forms are as follows: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b w:val="1"/>
          <w:sz w:val="28"/>
          <w:szCs w:val="28"/>
          <w:rtl w:val="0"/>
        </w:rPr>
        <w:t xml:space="preserve">400.3 Filing an Application (continued)</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my</w:t>
      </w:r>
      <w:r w:rsidDel="00000000" w:rsidR="00000000" w:rsidRPr="00000000">
        <w:rPr>
          <w:rFonts w:ascii="Arial" w:cs="Arial" w:eastAsia="Arial" w:hAnsi="Arial"/>
          <w:sz w:val="24"/>
          <w:szCs w:val="24"/>
          <w:rtl w:val="0"/>
        </w:rPr>
        <w:t xml:space="preserve">MDTHINK Consumer Portal;</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rFonts w:ascii="Arial" w:cs="Arial" w:eastAsia="Arial" w:hAnsi="Arial"/>
          <w:sz w:val="24"/>
          <w:szCs w:val="24"/>
          <w:rtl w:val="0"/>
        </w:rPr>
        <w:t xml:space="preserve">Enrollment and Eligibility System/Worker Portal;</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DHS/FIA 9711 Request for Assistance Form;</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DHS/FIA 9701(Eligibility Determination Document);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DHS/FIA 9702 (Eligibility Determination Document for a One-Person Household); or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Application forms designed by the local department and approved by FIA.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Households may file SNAP applications by submitting the appropriate form to the local office in person, through an authorized representative, electronically, by mail, by fax or by another electronic method.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numPr>
          <w:ilvl w:val="0"/>
          <w:numId w:val="3"/>
        </w:numPr>
        <w:ind w:left="72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Residents of drug addict/alcohol treatment centers and group homes may apply only through a representative who is an employee of the center.</w:t>
      </w:r>
      <w:r w:rsidDel="00000000" w:rsidR="00000000" w:rsidRPr="00000000">
        <w:rPr>
          <w:rtl w:val="0"/>
        </w:rPr>
      </w:r>
    </w:p>
    <w:p w:rsidR="00000000" w:rsidDel="00000000" w:rsidP="00000000" w:rsidRDefault="00000000" w:rsidRPr="00000000" w14:paraId="0000002C">
      <w:pPr>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Residents of other group living arrangements may apply and be certified on their own behalf through the use of an authorized representative of their own choosing or by a representative employed and designated by the group living arrangement.  The group living arrangement and the applicant’s mental and physical ability to handle his or her own affairs can determine which method is used.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SNAP recipient convicted of a volume dealer drug offense or drug kingpin offense for a crime committed after August 22, 1996, is: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 w:val="left" w:leader="none" w:pos="180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Ineligible for SNAP for one year from the date of conviction, and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0"/>
          <w:tab w:val="left" w:leader="none" w:pos="180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receive SNAP after that year, the applicant must meet all other eligibility requirements and is subject to testing and treatment for substance abuse for a period of two years starting from the later of the date when the custodial parent:</w:t>
      </w:r>
    </w:p>
    <w:p w:rsidR="00000000" w:rsidDel="00000000" w:rsidP="00000000" w:rsidRDefault="00000000" w:rsidRPr="00000000" w14:paraId="000000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900"/>
          <w:tab w:val="left" w:leader="none" w:pos="180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released from incarceration,</w:t>
      </w:r>
    </w:p>
    <w:p w:rsidR="00000000" w:rsidDel="00000000" w:rsidP="00000000" w:rsidRDefault="00000000" w:rsidRPr="00000000" w14:paraId="000000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900"/>
          <w:tab w:val="left" w:leader="none" w:pos="180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Completes any term of probation,</w:t>
      </w:r>
    </w:p>
    <w:p w:rsidR="00000000" w:rsidDel="00000000" w:rsidP="00000000" w:rsidRDefault="00000000" w:rsidRPr="00000000" w14:paraId="000000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900"/>
          <w:tab w:val="left" w:leader="none" w:pos="180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Completes any term of parole and mandatory supervision.</w:t>
      </w:r>
    </w:p>
    <w:p w:rsidR="00000000" w:rsidDel="00000000" w:rsidP="00000000" w:rsidRDefault="00000000" w:rsidRPr="00000000" w14:paraId="00000037">
      <w:pPr>
        <w:tabs>
          <w:tab w:val="left" w:leader="none" w:pos="90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Households have the right to file an application on the same day they contact the local office.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 offices will encourage households to file an application the same day the household or its representative contacts the local office electronically, in person, or by telephone.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Application forms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must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 readily accessible to potentially eligible households and to groups or organizations involved in outreach efforts.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office will give an application to anyone requesting one immediately or give the potential applicant a seat in the myDHR lab as soon as one is available and help them apply the same day.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400.4 Initial Contact with Potentially Eligible Households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Advise the household of its filing rights (see Section 400.3).  Give the household other information as needed or requested.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400.41 In-Person Contact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 the household to file an application on the date of initial contact.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sure that the application is “completed and signed” - contains at least the applicant’s name, address, and contains the signature (written or electronic) of an adult household member or authorized representative.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400.42 Telephone Contact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Advise the household of its filing rights.  Give other information as needed or requested.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 the household to go on myDHR or come to the office to file an application the same day.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hanging="27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Mail an application to households who request one.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400.43 Mail Contact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household’s request is for SNAP assistance, mail the application form (and other available appropriate information such as pamphlets, informational literature, etc.) to the household on the same day.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applications returned to the local department are “completed and signed.”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400.44 Filing an Electronic Application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filing an application by submitting the forms in person, through an authorized representative or the mail, the household can file a SNAP application by faxing or other electronic device a signed application to the local department.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 myDHR application, the date of filing is the date the local department receives the application with an electronic signature.  </w:t>
      </w:r>
    </w:p>
    <w:p w:rsidR="00000000" w:rsidDel="00000000" w:rsidP="00000000" w:rsidRDefault="00000000" w:rsidRPr="00000000" w14:paraId="0000005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E">
      <w:pPr>
        <w:numPr>
          <w:ilvl w:val="0"/>
          <w:numId w:val="21"/>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Local departments must hold the downloaded myDHR application for 60 days while waiting for the customer to mail, fax, or hand-deliver the signature page if the applicant has not signed electronically.  The local department can destroy the myDHR application after 60 days if the signature page is not received and there is no electronic signature.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must document the date the application was filed by stamping or noting on the application the date of receipt in the local office.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 the household (by phone or mail) about additional information (if required) and other available appropriate information such as pamphlets, informational literature, etc., on the same day the application is received.</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 the household by phone or mail to schedule an in-office interview or conduct a telephone interview. Telephone interviews are available to all applicants or recipients without the need to show hardship. Local departments must provide a face-to-face interview if requested by the household or its authorized representative.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expedited processing standards are met for any household potentially eligible for expedited processing.</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400.5 Applicant Contacts the Wrong Office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has contacted the wrong district or county office, (the household is not living in that district or county), inform the household of the appropriate office location.  Help the applicant file through myDHR or by faxing or scanning and emailing their application to the correct office.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 provide the household with an application unless the household is living in another state.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 provide any additional information as needed or requested.  For example: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Advise the household of its filing rights.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other information as needed or requested.</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 the household to apply online at myDHR or contact the appropriate office – give the household the address and telephone number of that office.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Offer to forward the “completed and signed” application form to the appropriate office the same day it is submitted.  Forward the application the same day by any means that ensures the application arrives at the correct office the day it is forwarded (i.e. fax or email).</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Send the application to the appropriate office on the same day if the household has mailed its application to the wrong office within a project area. The application can be forwarded by any means that ensures the application arrives at the correct office the day it is forwarded (i.e. fax or scan the application into ECMS and email </w:t>
      </w:r>
      <w:r w:rsidDel="00000000" w:rsidR="00000000" w:rsidRPr="00000000">
        <w:rPr>
          <w:rFonts w:ascii="Arial" w:cs="Arial" w:eastAsia="Arial" w:hAnsi="Arial"/>
          <w:sz w:val="24"/>
          <w:szCs w:val="24"/>
          <w:rtl w:val="0"/>
        </w:rPr>
        <w:t xml:space="preserve">it to the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correct local department).</w:t>
      </w:r>
    </w:p>
    <w:p w:rsidR="00000000" w:rsidDel="00000000" w:rsidP="00000000" w:rsidRDefault="00000000" w:rsidRPr="00000000" w14:paraId="0000007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400.6 Providing a Copy of the Application to the Household</w:t>
      </w:r>
    </w:p>
    <w:p w:rsidR="00000000" w:rsidDel="00000000" w:rsidP="00000000" w:rsidRDefault="00000000" w:rsidRPr="00000000" w14:paraId="0000007B">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7C">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local department must provide the household with:</w:t>
      </w:r>
    </w:p>
    <w:p w:rsidR="00000000" w:rsidDel="00000000" w:rsidP="00000000" w:rsidRDefault="00000000" w:rsidRPr="00000000" w14:paraId="0000007D">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numPr>
          <w:ilvl w:val="0"/>
          <w:numId w:val="1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opportunity to review the Application when the household applies for SNAP benefits at the local department and has a face to face interview;</w:t>
      </w:r>
    </w:p>
    <w:p w:rsidR="00000000" w:rsidDel="00000000" w:rsidP="00000000" w:rsidRDefault="00000000" w:rsidRPr="00000000" w14:paraId="0000007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0">
      <w:pPr>
        <w:numPr>
          <w:ilvl w:val="0"/>
          <w:numId w:val="12"/>
        </w:numPr>
        <w:tabs>
          <w:tab w:val="left" w:leader="none" w:pos="90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copy of the Application for their personal records.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tabs>
          <w:tab w:val="left" w:leader="none" w:pos="900"/>
        </w:tabs>
        <w:rPr>
          <w:rFonts w:ascii="Arial" w:cs="Arial" w:eastAsia="Arial" w:hAnsi="Arial"/>
          <w:sz w:val="24"/>
          <w:szCs w:val="24"/>
        </w:rPr>
      </w:pPr>
      <w:r w:rsidDel="00000000" w:rsidR="00000000" w:rsidRPr="00000000">
        <w:rPr>
          <w:rFonts w:ascii="Arial" w:cs="Arial" w:eastAsia="Arial" w:hAnsi="Arial"/>
          <w:sz w:val="24"/>
          <w:szCs w:val="24"/>
          <w:rtl w:val="0"/>
        </w:rPr>
        <w:t xml:space="preserve">Households have the option of receiving a copy of any completed electronic application, by accessing the myMDTHINK Consumer Portal, in its electronic format.</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4">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400.7</w:t>
        <w:tab/>
        <w:t xml:space="preserve"> Withdrawing an Application</w:t>
      </w:r>
    </w:p>
    <w:p w:rsidR="00000000" w:rsidDel="00000000" w:rsidP="00000000" w:rsidRDefault="00000000" w:rsidRPr="00000000" w14:paraId="0000008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6">
      <w:pPr>
        <w:rPr>
          <w:rFonts w:ascii="Arial" w:cs="Arial" w:eastAsia="Arial" w:hAnsi="Arial"/>
          <w:sz w:val="24"/>
          <w:szCs w:val="24"/>
        </w:rPr>
      </w:pPr>
      <w:r w:rsidDel="00000000" w:rsidR="00000000" w:rsidRPr="00000000">
        <w:rPr>
          <w:rFonts w:ascii="Arial" w:cs="Arial" w:eastAsia="Arial" w:hAnsi="Arial"/>
          <w:sz w:val="24"/>
          <w:szCs w:val="24"/>
          <w:rtl w:val="0"/>
        </w:rPr>
        <w:t xml:space="preserve">The withdrawal of a SNAP application must be a voluntary action by the customer.  </w:t>
      </w:r>
    </w:p>
    <w:p w:rsidR="00000000" w:rsidDel="00000000" w:rsidP="00000000" w:rsidRDefault="00000000" w:rsidRPr="00000000" w14:paraId="0000008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8">
      <w:pPr>
        <w:numPr>
          <w:ilvl w:val="0"/>
          <w:numId w:val="16"/>
        </w:numPr>
        <w:tabs>
          <w:tab w:val="left" w:leader="none" w:pos="36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Customers have the right to have their applications reviewed and eligibility determined based on all factors of eligibility. </w:t>
      </w:r>
    </w:p>
    <w:p w:rsidR="00000000" w:rsidDel="00000000" w:rsidP="00000000" w:rsidRDefault="00000000" w:rsidRPr="00000000" w14:paraId="00000089">
      <w:pPr>
        <w:tabs>
          <w:tab w:val="left" w:leader="none" w:pos="360"/>
        </w:tabs>
        <w:ind w:left="36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A">
      <w:pPr>
        <w:numPr>
          <w:ilvl w:val="0"/>
          <w:numId w:val="16"/>
        </w:numPr>
        <w:tabs>
          <w:tab w:val="left" w:leader="none" w:pos="36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Case managers </w:t>
      </w:r>
      <w:r w:rsidDel="00000000" w:rsidR="00000000" w:rsidRPr="00000000">
        <w:rPr>
          <w:rFonts w:ascii="Arial" w:cs="Arial" w:eastAsia="Arial" w:hAnsi="Arial"/>
          <w:b w:val="1"/>
          <w:sz w:val="24"/>
          <w:szCs w:val="24"/>
          <w:u w:val="single"/>
          <w:rtl w:val="0"/>
        </w:rPr>
        <w:t xml:space="preserve">must not</w:t>
      </w:r>
      <w:r w:rsidDel="00000000" w:rsidR="00000000" w:rsidRPr="00000000">
        <w:rPr>
          <w:rFonts w:ascii="Arial" w:cs="Arial" w:eastAsia="Arial" w:hAnsi="Arial"/>
          <w:sz w:val="24"/>
          <w:szCs w:val="24"/>
          <w:rtl w:val="0"/>
        </w:rPr>
        <w:t xml:space="preserve"> make an informal decision on the SNAP application by suggesting customers withdraw their applications, even if the customer appears to be ineligible because of it:</w:t>
      </w:r>
    </w:p>
    <w:p w:rsidR="00000000" w:rsidDel="00000000" w:rsidP="00000000" w:rsidRDefault="00000000" w:rsidRPr="00000000" w14:paraId="0000008B">
      <w:pPr>
        <w:tabs>
          <w:tab w:val="left" w:leader="none" w:pos="360"/>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C">
      <w:pPr>
        <w:numPr>
          <w:ilvl w:val="0"/>
          <w:numId w:val="17"/>
        </w:numPr>
        <w:tabs>
          <w:tab w:val="left" w:leader="none" w:pos="36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Is an eligibility decision made outside the scope of monitoring and record keeping, and </w:t>
      </w:r>
    </w:p>
    <w:p w:rsidR="00000000" w:rsidDel="00000000" w:rsidP="00000000" w:rsidRDefault="00000000" w:rsidRPr="00000000" w14:paraId="0000008D">
      <w:pPr>
        <w:tabs>
          <w:tab w:val="left" w:leader="none" w:pos="360"/>
        </w:tabs>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E">
      <w:pPr>
        <w:numPr>
          <w:ilvl w:val="0"/>
          <w:numId w:val="17"/>
        </w:numPr>
        <w:tabs>
          <w:tab w:val="left" w:leader="none" w:pos="36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Impinges on the customer’s rights to have their eligibility reviewed.</w:t>
      </w:r>
    </w:p>
    <w:p w:rsidR="00000000" w:rsidDel="00000000" w:rsidP="00000000" w:rsidRDefault="00000000" w:rsidRPr="00000000" w14:paraId="0000008F">
      <w:pPr>
        <w:tabs>
          <w:tab w:val="left" w:leader="none" w:pos="360"/>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0">
      <w:pPr>
        <w:numPr>
          <w:ilvl w:val="0"/>
          <w:numId w:val="19"/>
        </w:num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Case managers must:</w:t>
      </w:r>
    </w:p>
    <w:p w:rsidR="00000000" w:rsidDel="00000000" w:rsidP="00000000" w:rsidRDefault="00000000" w:rsidRPr="00000000" w14:paraId="00000091">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 customers to file an application for SNAP even if they do not want to file a cash assistance application.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 customers to file an application at first contact with the local department.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Remember the decision to withdraw an application must be the customer’s decision for the customer’s own reasons.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case record clear and concise narration as to why the customer withdrew the application and that contact was made with the household to confirm the withdrawal.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Advise customers of the right to reapply at any time after a withdrawal.</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JULY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1"/>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38"/>
      <w:gridCol w:w="1530"/>
      <w:gridCol w:w="2088"/>
      <w:tblGridChange w:id="0">
        <w:tblGrid>
          <w:gridCol w:w="5238"/>
          <w:gridCol w:w="1530"/>
          <w:gridCol w:w="2088"/>
        </w:tblGrid>
      </w:tblGridChange>
    </w:tblGrid>
    <w:tr>
      <w:trPr>
        <w:cantSplit w:val="0"/>
        <w:trHeight w:val="620" w:hRule="atLeast"/>
        <w:tblHeader w:val="0"/>
      </w:trPr>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DEPARTMENT OF HUMAN SERVICES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FAMILY INVESTMENT ADMINISTRATION</w:t>
          </w:r>
          <w:r w:rsidDel="00000000" w:rsidR="00000000" w:rsidRPr="00000000">
            <w:rPr>
              <w:rtl w:val="0"/>
            </w:rPr>
          </w:r>
        </w:p>
      </w:tc>
      <w:tc>
        <w:tcPr>
          <w:gridSpan w:val="2"/>
        </w:tcPr>
        <w:p w:rsidR="00000000" w:rsidDel="00000000" w:rsidP="00000000" w:rsidRDefault="00000000" w:rsidRPr="00000000" w14:paraId="000000A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SUPPLEMENTAL NUTRITION ASSISTANCE PROGRAM (SNAP) MANUAL</w:t>
          </w:r>
        </w:p>
      </w:tc>
    </w:tr>
    <w:tr>
      <w:trPr>
        <w:cantSplit w:val="0"/>
        <w:trHeight w:val="431" w:hRule="atLeast"/>
        <w:tblHeader w:val="0"/>
      </w:trPr>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FILING AN APPLICATION</w:t>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400</w:t>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2"/>
      <w:numFmt w:val="upperLetter"/>
      <w:lvlText w:val="%1."/>
      <w:lvlJc w:val="left"/>
      <w:pPr>
        <w:ind w:left="360" w:hanging="360"/>
      </w:pPr>
      <w:rPr>
        <w:rFonts w:ascii="Arial" w:cs="Arial" w:eastAsia="Arial" w:hAnsi="Arial"/>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upperLetter"/>
      <w:lvlText w:val="%1."/>
      <w:lvlJc w:val="left"/>
      <w:pPr>
        <w:ind w:left="360" w:hanging="360"/>
      </w:pPr>
      <w:rPr>
        <w:rFonts w:ascii="Arial" w:cs="Arial" w:eastAsia="Arial" w:hAnsi="Arial"/>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5"/>
      <w:numFmt w:val="upperLetter"/>
      <w:lvlText w:val="%1."/>
      <w:lvlJc w:val="left"/>
      <w:pPr>
        <w:ind w:left="216" w:hanging="71.99999999999997"/>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1440" w:hanging="72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upp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1."/>
      <w:lvlJc w:val="left"/>
      <w:pPr>
        <w:ind w:left="99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upperLetter"/>
      <w:lvlText w:val="%1."/>
      <w:lvlJc w:val="left"/>
      <w:pPr>
        <w:ind w:left="36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decimal"/>
      <w:lvlText w:val="%1."/>
      <w:lvlJc w:val="left"/>
      <w:pPr>
        <w:ind w:left="360" w:hanging="360"/>
      </w:pPr>
      <w:rPr>
        <w:sz w:val="24"/>
        <w:szCs w:val="24"/>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upp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w:lvlJc w:val="left"/>
      <w:pPr>
        <w:ind w:left="1440" w:hanging="72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7"/>
      <w:numFmt w:val="upperLetter"/>
      <w:lvlText w:val="%1."/>
      <w:lvlJc w:val="left"/>
      <w:pPr>
        <w:ind w:left="360" w:hanging="360"/>
      </w:pPr>
      <w:rPr>
        <w:rFonts w:ascii="Arial" w:cs="Arial" w:eastAsia="Arial" w:hAnsi="Arial"/>
        <w:b w:val="0"/>
        <w:i w:val="0"/>
        <w:color w:val="000000"/>
        <w:sz w:val="24"/>
        <w:szCs w:val="24"/>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3"/>
      <w:numFmt w:val="upperLetter"/>
      <w:lvlText w:val="%1."/>
      <w:lvlJc w:val="left"/>
      <w:pPr>
        <w:ind w:left="2085"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decimal"/>
      <w:lvlText w:val="%1."/>
      <w:lvlJc w:val="left"/>
      <w:pPr>
        <w:ind w:left="1440" w:hanging="72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spacing w:after="60" w:before="240" w:lineRule="auto"/>
      <w:ind w:left="360" w:hanging="360"/>
    </w:pPr>
    <w:rPr>
      <w:rFonts w:ascii="Arial" w:cs="Arial" w:eastAsia="Arial" w:hAnsi="Arial"/>
      <w:b w:val="1"/>
      <w:i w:val="1"/>
      <w:sz w:val="24"/>
      <w:szCs w:val="24"/>
    </w:rPr>
  </w:style>
  <w:style w:type="paragraph" w:styleId="Heading3">
    <w:name w:val="heading 3"/>
    <w:basedOn w:val="Normal"/>
    <w:next w:val="Normal"/>
    <w:pPr>
      <w:keepNext w:val="1"/>
      <w:spacing w:after="60" w:before="240" w:lineRule="auto"/>
    </w:pPr>
    <w:rPr>
      <w:rFonts w:ascii="Arial" w:cs="Arial" w:eastAsia="Arial" w:hAnsi="Arial"/>
      <w:sz w:val="24"/>
      <w:szCs w:val="24"/>
    </w:rPr>
  </w:style>
  <w:style w:type="paragraph" w:styleId="Heading4">
    <w:name w:val="heading 4"/>
    <w:basedOn w:val="Normal"/>
    <w:next w:val="Normal"/>
    <w:pPr>
      <w:keepNext w:val="1"/>
      <w:spacing w:after="60" w:before="240" w:lineRule="auto"/>
    </w:pPr>
    <w:rPr>
      <w:rFonts w:ascii="Arial" w:cs="Arial" w:eastAsia="Arial" w:hAnsi="Arial"/>
      <w:b w:val="1"/>
      <w:sz w:val="24"/>
      <w:szCs w:val="24"/>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F44E7"/>
  </w:style>
  <w:style w:type="paragraph" w:styleId="Heading1">
    <w:name w:val="heading 1"/>
    <w:basedOn w:val="Normal"/>
    <w:next w:val="Normal"/>
    <w:qFormat w:val="1"/>
    <w:rsid w:val="008F44E7"/>
    <w:pPr>
      <w:keepNext w:val="1"/>
      <w:outlineLvl w:val="0"/>
    </w:pPr>
    <w:rPr>
      <w:sz w:val="24"/>
    </w:rPr>
  </w:style>
  <w:style w:type="paragraph" w:styleId="Heading2">
    <w:name w:val="heading 2"/>
    <w:basedOn w:val="Normal"/>
    <w:next w:val="Normal"/>
    <w:qFormat w:val="1"/>
    <w:rsid w:val="008F44E7"/>
    <w:pPr>
      <w:keepNext w:val="1"/>
      <w:numPr>
        <w:numId w:val="1"/>
      </w:numPr>
      <w:spacing w:after="60" w:before="240"/>
      <w:outlineLvl w:val="1"/>
    </w:pPr>
    <w:rPr>
      <w:rFonts w:ascii="Arial" w:hAnsi="Arial"/>
      <w:b w:val="1"/>
      <w:i w:val="1"/>
      <w:sz w:val="24"/>
    </w:rPr>
  </w:style>
  <w:style w:type="paragraph" w:styleId="Heading3">
    <w:name w:val="heading 3"/>
    <w:basedOn w:val="Normal"/>
    <w:next w:val="Normal"/>
    <w:qFormat w:val="1"/>
    <w:rsid w:val="008F44E7"/>
    <w:pPr>
      <w:keepNext w:val="1"/>
      <w:spacing w:after="60" w:before="240"/>
      <w:outlineLvl w:val="2"/>
    </w:pPr>
    <w:rPr>
      <w:rFonts w:ascii="Arial" w:hAnsi="Arial"/>
      <w:sz w:val="24"/>
    </w:rPr>
  </w:style>
  <w:style w:type="paragraph" w:styleId="Heading4">
    <w:name w:val="heading 4"/>
    <w:basedOn w:val="Normal"/>
    <w:next w:val="Normal"/>
    <w:qFormat w:val="1"/>
    <w:rsid w:val="008F44E7"/>
    <w:pPr>
      <w:keepNext w:val="1"/>
      <w:spacing w:after="60" w:before="240"/>
      <w:outlineLvl w:val="3"/>
    </w:pPr>
    <w:rPr>
      <w:rFonts w:ascii="Arial" w:hAnsi="Arial"/>
      <w:b w:val="1"/>
      <w:sz w:val="24"/>
    </w:rPr>
  </w:style>
  <w:style w:type="paragraph" w:styleId="Heading5">
    <w:name w:val="heading 5"/>
    <w:basedOn w:val="Normal"/>
    <w:next w:val="Normal"/>
    <w:qFormat w:val="1"/>
    <w:rsid w:val="008F44E7"/>
    <w:pPr>
      <w:spacing w:after="60" w:before="240"/>
      <w:outlineLvl w:val="4"/>
    </w:pPr>
    <w:rPr>
      <w:sz w:val="22"/>
    </w:rPr>
  </w:style>
  <w:style w:type="paragraph" w:styleId="Heading6">
    <w:name w:val="heading 6"/>
    <w:basedOn w:val="Normal"/>
    <w:next w:val="Normal"/>
    <w:qFormat w:val="1"/>
    <w:rsid w:val="008F44E7"/>
    <w:pPr>
      <w:spacing w:after="60" w:before="240"/>
      <w:outlineLvl w:val="5"/>
    </w:pPr>
    <w:rPr>
      <w:i w:val="1"/>
      <w:sz w:val="22"/>
    </w:rPr>
  </w:style>
  <w:style w:type="paragraph" w:styleId="Heading7">
    <w:name w:val="heading 7"/>
    <w:basedOn w:val="Normal"/>
    <w:next w:val="Normal"/>
    <w:qFormat w:val="1"/>
    <w:rsid w:val="008F44E7"/>
    <w:pPr>
      <w:spacing w:after="60" w:before="240"/>
      <w:outlineLvl w:val="6"/>
    </w:pPr>
    <w:rPr>
      <w:rFonts w:ascii="Arial" w:hAnsi="Arial"/>
    </w:rPr>
  </w:style>
  <w:style w:type="paragraph" w:styleId="Heading8">
    <w:name w:val="heading 8"/>
    <w:basedOn w:val="Normal"/>
    <w:next w:val="Normal"/>
    <w:qFormat w:val="1"/>
    <w:rsid w:val="008F44E7"/>
    <w:pPr>
      <w:spacing w:after="60" w:before="240"/>
      <w:outlineLvl w:val="7"/>
    </w:pPr>
    <w:rPr>
      <w:rFonts w:ascii="Arial" w:hAnsi="Arial"/>
      <w:i w:val="1"/>
    </w:rPr>
  </w:style>
  <w:style w:type="paragraph" w:styleId="Heading9">
    <w:name w:val="heading 9"/>
    <w:basedOn w:val="Normal"/>
    <w:next w:val="Normal"/>
    <w:qFormat w:val="1"/>
    <w:rsid w:val="008F44E7"/>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
    <w:name w:val="Body Text Indent"/>
    <w:basedOn w:val="Normal"/>
    <w:rsid w:val="008F44E7"/>
    <w:pPr>
      <w:ind w:left="720"/>
      <w:jc w:val="both"/>
    </w:pPr>
    <w:rPr>
      <w:b w:val="1"/>
      <w:sz w:val="24"/>
    </w:rPr>
  </w:style>
  <w:style w:type="paragraph" w:styleId="BodyTextIndent2">
    <w:name w:val="Body Text Indent 2"/>
    <w:basedOn w:val="Normal"/>
    <w:rsid w:val="008F44E7"/>
    <w:pPr>
      <w:ind w:left="720"/>
      <w:jc w:val="both"/>
    </w:pPr>
    <w:rPr>
      <w:sz w:val="24"/>
    </w:rPr>
  </w:style>
  <w:style w:type="paragraph" w:styleId="Header">
    <w:name w:val="header"/>
    <w:basedOn w:val="Normal"/>
    <w:rsid w:val="008F44E7"/>
    <w:pPr>
      <w:tabs>
        <w:tab w:val="center" w:pos="4320"/>
        <w:tab w:val="right" w:pos="8640"/>
      </w:tabs>
    </w:pPr>
  </w:style>
  <w:style w:type="paragraph" w:styleId="Footer">
    <w:name w:val="footer"/>
    <w:basedOn w:val="Normal"/>
    <w:rsid w:val="008F44E7"/>
    <w:pPr>
      <w:tabs>
        <w:tab w:val="center" w:pos="4320"/>
        <w:tab w:val="right" w:pos="8640"/>
      </w:tabs>
    </w:pPr>
  </w:style>
  <w:style w:type="character" w:styleId="PageNumber">
    <w:name w:val="page number"/>
    <w:basedOn w:val="DefaultParagraphFont"/>
    <w:rsid w:val="008F44E7"/>
  </w:style>
  <w:style w:type="paragraph" w:styleId="BodyText">
    <w:name w:val="Body Text"/>
    <w:basedOn w:val="Normal"/>
    <w:rsid w:val="008F44E7"/>
    <w:rPr>
      <w:rFonts w:ascii="Arial" w:hAnsi="Arial"/>
      <w:sz w:val="24"/>
    </w:rPr>
  </w:style>
  <w:style w:type="paragraph" w:styleId="BodyTextIndent3">
    <w:name w:val="Body Text Indent 3"/>
    <w:basedOn w:val="Normal"/>
    <w:rsid w:val="008F44E7"/>
    <w:pPr>
      <w:tabs>
        <w:tab w:val="left" w:pos="720"/>
      </w:tabs>
      <w:ind w:left="990" w:hanging="1080"/>
    </w:pPr>
    <w:rPr>
      <w:rFonts w:ascii="Arial" w:hAnsi="Arial"/>
      <w:b w:val="1"/>
      <w:sz w:val="28"/>
    </w:rPr>
  </w:style>
  <w:style w:type="paragraph" w:styleId="BalloonText">
    <w:name w:val="Balloon Text"/>
    <w:basedOn w:val="Normal"/>
    <w:semiHidden w:val="1"/>
    <w:rsid w:val="00EE7123"/>
    <w:rPr>
      <w:rFonts w:ascii="Tahoma" w:cs="Tahoma" w:hAnsi="Tahoma"/>
      <w:sz w:val="16"/>
      <w:szCs w:val="16"/>
    </w:rPr>
  </w:style>
  <w:style w:type="paragraph" w:styleId="ListParagraph">
    <w:name w:val="List Paragraph"/>
    <w:basedOn w:val="Normal"/>
    <w:uiPriority w:val="34"/>
    <w:qFormat w:val="1"/>
    <w:rsid w:val="00FF11D0"/>
    <w:pPr>
      <w:ind w:left="720"/>
    </w:pPr>
  </w:style>
  <w:style w:type="character" w:styleId="CommentReference">
    <w:name w:val="annotation reference"/>
    <w:basedOn w:val="DefaultParagraphFont"/>
    <w:rsid w:val="001A0A16"/>
    <w:rPr>
      <w:sz w:val="16"/>
      <w:szCs w:val="16"/>
    </w:rPr>
  </w:style>
  <w:style w:type="paragraph" w:styleId="CommentText">
    <w:name w:val="annotation text"/>
    <w:basedOn w:val="Normal"/>
    <w:link w:val="CommentTextChar"/>
    <w:rsid w:val="001A0A16"/>
  </w:style>
  <w:style w:type="character" w:styleId="CommentTextChar" w:customStyle="1">
    <w:name w:val="Comment Text Char"/>
    <w:basedOn w:val="DefaultParagraphFont"/>
    <w:link w:val="CommentText"/>
    <w:rsid w:val="001A0A16"/>
  </w:style>
  <w:style w:type="paragraph" w:styleId="CommentSubject">
    <w:name w:val="annotation subject"/>
    <w:basedOn w:val="CommentText"/>
    <w:next w:val="CommentText"/>
    <w:link w:val="CommentSubjectChar"/>
    <w:rsid w:val="001A0A16"/>
    <w:rPr>
      <w:b w:val="1"/>
      <w:bCs w:val="1"/>
    </w:rPr>
  </w:style>
  <w:style w:type="character" w:styleId="CommentSubjectChar" w:customStyle="1">
    <w:name w:val="Comment Subject Char"/>
    <w:basedOn w:val="CommentTextChar"/>
    <w:link w:val="CommentSubject"/>
    <w:rsid w:val="001A0A16"/>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2p1SW91zz5eh1C+JQSULBJMQNg==">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2020-08-16T16:54:00Z</dcterms:created>
  <dc:creator>Office of Policy and Research</dc:creator>
</cp:coreProperties>
</file>